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3661E2" w:rsidRPr="00665284" w:rsidRDefault="003661E2" w:rsidP="00EA64BE">
      <w:pPr>
        <w:ind w:left="-142" w:hanging="1"/>
        <w:jc w:val="both"/>
      </w:pP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3661E2">
        <w:rPr>
          <w:b/>
        </w:rPr>
        <w:t xml:space="preserve">: </w:t>
      </w:r>
      <w:r w:rsidR="003661E2" w:rsidRPr="003661E2">
        <w:rPr>
          <w:b/>
        </w:rPr>
        <w:t>05</w:t>
      </w:r>
      <w:r w:rsidRPr="007E0F73">
        <w:rPr>
          <w:b/>
        </w:rPr>
        <w:t>.</w:t>
      </w:r>
      <w:r w:rsidR="003661E2">
        <w:rPr>
          <w:b/>
        </w:rPr>
        <w:t>02</w:t>
      </w:r>
      <w:r w:rsidRPr="00084611">
        <w:rPr>
          <w:b/>
        </w:rPr>
        <w:t>.202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010C12">
        <w:rPr>
          <w:b/>
        </w:rPr>
        <w:t>29</w:t>
      </w:r>
      <w:r w:rsidRPr="00084611">
        <w:rPr>
          <w:b/>
        </w:rPr>
        <w:t>.</w:t>
      </w:r>
      <w:r w:rsidR="00010C12">
        <w:rPr>
          <w:b/>
        </w:rPr>
        <w:t>02</w:t>
      </w:r>
      <w:r w:rsidR="009019A6" w:rsidRPr="00084611">
        <w:rPr>
          <w:b/>
        </w:rPr>
        <w:t>.</w:t>
      </w:r>
      <w:r w:rsidR="00291FCF" w:rsidRPr="00084611">
        <w:rPr>
          <w:b/>
        </w:rPr>
        <w:t>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010C12">
        <w:rPr>
          <w:b/>
        </w:rPr>
        <w:t>01</w:t>
      </w:r>
      <w:r w:rsidRPr="00084611">
        <w:rPr>
          <w:b/>
        </w:rPr>
        <w:t>.</w:t>
      </w:r>
      <w:r w:rsidR="003661E2">
        <w:rPr>
          <w:b/>
        </w:rPr>
        <w:t>03</w:t>
      </w:r>
      <w:r w:rsidR="00291FCF" w:rsidRPr="00084611">
        <w:rPr>
          <w:b/>
        </w:rPr>
        <w:t>.202</w:t>
      </w:r>
      <w:r w:rsidR="007E0F73">
        <w:rPr>
          <w:b/>
        </w:rPr>
        <w:t>4</w:t>
      </w:r>
      <w:r w:rsidRPr="00084611">
        <w:rPr>
          <w:b/>
        </w:rPr>
        <w:t xml:space="preserve"> 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</w:t>
      </w:r>
      <w:r w:rsidRPr="007E0F73">
        <w:rPr>
          <w:b/>
        </w:rPr>
        <w:t xml:space="preserve">: </w:t>
      </w:r>
      <w:r w:rsidR="00010C12">
        <w:rPr>
          <w:b/>
        </w:rPr>
        <w:t>05</w:t>
      </w:r>
      <w:r w:rsidRPr="00084611">
        <w:rPr>
          <w:b/>
        </w:rPr>
        <w:t>.</w:t>
      </w:r>
      <w:r w:rsidR="003661E2">
        <w:rPr>
          <w:b/>
        </w:rPr>
        <w:t>03</w:t>
      </w:r>
      <w:r w:rsidR="007E0F73">
        <w:rPr>
          <w:b/>
        </w:rPr>
        <w:t>.2024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FB463D" w:rsidRDefault="00FB463D" w:rsidP="00FB463D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FB463D" w:rsidRPr="00430128" w:rsidRDefault="00FB463D" w:rsidP="00FB463D">
      <w:pPr>
        <w:widowControl w:val="0"/>
        <w:autoSpaceDE w:val="0"/>
        <w:ind w:left="-142"/>
        <w:jc w:val="both"/>
      </w:pPr>
      <w:r w:rsidRPr="00B30F4E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1:</w:t>
      </w:r>
      <w:r w:rsidRPr="00B30F4E">
        <w:rPr>
          <w:b/>
          <w:bCs/>
          <w:spacing w:val="-6"/>
        </w:rPr>
        <w:t xml:space="preserve"> 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4300004</w:t>
      </w:r>
      <w:r w:rsidRPr="00430128">
        <w:t>:</w:t>
      </w:r>
      <w:r>
        <w:t>261</w:t>
      </w:r>
      <w:r w:rsidRPr="00430128">
        <w:t>.</w:t>
      </w:r>
    </w:p>
    <w:p w:rsidR="00FB463D" w:rsidRDefault="00FB463D" w:rsidP="00FB463D">
      <w:pPr>
        <w:pStyle w:val="a5"/>
        <w:ind w:left="-142" w:hanging="1"/>
        <w:jc w:val="both"/>
      </w:pPr>
      <w:r w:rsidRPr="00430128">
        <w:rPr>
          <w:b/>
        </w:rPr>
        <w:t>Описание лота:</w:t>
      </w:r>
      <w:r>
        <w:t xml:space="preserve"> земельный участок с кадастровым номером 74:07:4300004:261, категория земель – </w:t>
      </w:r>
      <w:r>
        <w:rPr>
          <w:rFonts w:eastAsia="Calibri"/>
        </w:rPr>
        <w:t>земли сельскохозяйственного назначения</w:t>
      </w:r>
      <w:r>
        <w:t xml:space="preserve">, расположенный по адресу: Челябинская область, </w:t>
      </w:r>
      <w:proofErr w:type="spellStart"/>
      <w:r>
        <w:t>Еткульский</w:t>
      </w:r>
      <w:proofErr w:type="spellEnd"/>
      <w:r>
        <w:t xml:space="preserve"> </w:t>
      </w:r>
      <w:proofErr w:type="gramStart"/>
      <w:r>
        <w:t>район,  примерно</w:t>
      </w:r>
      <w:proofErr w:type="gramEnd"/>
      <w:r>
        <w:t xml:space="preserve"> в 5550 м. по направлению на юго-запад от с. Лебедевка, площадью 6060000 (шесть миллионов шестьдесят тысяч) квадратных метров, разрешенное использование: для сельскохозяйственного производства.</w:t>
      </w:r>
    </w:p>
    <w:p w:rsidR="00FB463D" w:rsidRDefault="00FB463D" w:rsidP="00FB463D">
      <w:pPr>
        <w:pStyle w:val="a5"/>
        <w:ind w:left="-142" w:hanging="1"/>
        <w:jc w:val="both"/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>:</w:t>
      </w:r>
      <w:r w:rsidRPr="00FB463D">
        <w:rPr>
          <w:color w:val="000000"/>
        </w:rPr>
        <w:t xml:space="preserve"> </w:t>
      </w:r>
      <w:r>
        <w:rPr>
          <w:color w:val="000000"/>
        </w:rPr>
        <w:t>П</w:t>
      </w:r>
      <w:r w:rsidRPr="00B0024C">
        <w:t>остановлени</w:t>
      </w:r>
      <w:r>
        <w:t>е</w:t>
      </w:r>
      <w:r w:rsidRPr="00B0024C">
        <w:t xml:space="preserve"> администрации </w:t>
      </w:r>
      <w:proofErr w:type="spellStart"/>
      <w:r w:rsidRPr="00B0024C">
        <w:t>Еткульского</w:t>
      </w:r>
      <w:proofErr w:type="spellEnd"/>
      <w:r w:rsidRPr="00B0024C">
        <w:t xml:space="preserve"> муниципального района № </w:t>
      </w:r>
      <w:r>
        <w:t>66 о</w:t>
      </w:r>
      <w:r>
        <w:t xml:space="preserve">т </w:t>
      </w:r>
      <w:r>
        <w:t>01</w:t>
      </w:r>
      <w:r w:rsidRPr="00B0024C">
        <w:t>.</w:t>
      </w:r>
      <w:r>
        <w:t>02</w:t>
      </w:r>
      <w:r w:rsidRPr="00B0024C">
        <w:t>.202</w:t>
      </w:r>
      <w:r>
        <w:t>4</w:t>
      </w:r>
      <w:r w:rsidRPr="00B0024C">
        <w:t xml:space="preserve"> года «О проведении </w:t>
      </w:r>
      <w:r>
        <w:t xml:space="preserve">электронного </w:t>
      </w:r>
      <w:r w:rsidRPr="00B0024C">
        <w:t>аукциона на право заключения дого</w:t>
      </w:r>
      <w:r>
        <w:t>вора аренды земельного участка»</w:t>
      </w:r>
    </w:p>
    <w:p w:rsidR="00FB463D" w:rsidRPr="00430128" w:rsidRDefault="00FB463D" w:rsidP="00FB463D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>242703 рубля 00 копеек</w:t>
      </w:r>
      <w:r w:rsidRPr="00430128">
        <w:rPr>
          <w:color w:val="000000"/>
        </w:rPr>
        <w:t xml:space="preserve">; </w:t>
      </w:r>
    </w:p>
    <w:p w:rsidR="00FB463D" w:rsidRPr="00430128" w:rsidRDefault="00FB463D" w:rsidP="00FB463D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>7281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>
        <w:rPr>
          <w:color w:val="000000"/>
        </w:rPr>
        <w:t>ь</w:t>
      </w:r>
      <w:r w:rsidRPr="00430128">
        <w:rPr>
          <w:color w:val="000000"/>
        </w:rPr>
        <w:t xml:space="preserve"> 00 копеек.  </w:t>
      </w:r>
    </w:p>
    <w:p w:rsidR="00FB463D" w:rsidRPr="00430128" w:rsidRDefault="00FB463D" w:rsidP="00FB463D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242703 рубля 00 копеек</w:t>
      </w:r>
      <w:r w:rsidRPr="00430128">
        <w:rPr>
          <w:color w:val="000000"/>
        </w:rPr>
        <w:t>.</w:t>
      </w:r>
    </w:p>
    <w:p w:rsidR="00FB463D" w:rsidRPr="00F60B2A" w:rsidRDefault="00FB463D" w:rsidP="00FB463D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(сорок девять) лет</w:t>
      </w:r>
      <w:r w:rsidRPr="00F60B2A">
        <w:rPr>
          <w:color w:val="000000"/>
        </w:rPr>
        <w:t>.</w:t>
      </w:r>
    </w:p>
    <w:p w:rsidR="00FB463D" w:rsidRDefault="00FB463D" w:rsidP="00FB463D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CA0BD2" w:rsidRDefault="00CA0BD2" w:rsidP="0037082E">
      <w:pPr>
        <w:pStyle w:val="a6"/>
        <w:widowControl w:val="0"/>
        <w:spacing w:before="0" w:beforeAutospacing="0" w:after="0" w:afterAutospacing="0"/>
        <w:ind w:left="-142"/>
        <w:jc w:val="both"/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563786">
        <w:rPr>
          <w:b/>
        </w:rPr>
        <w:t>2</w:t>
      </w:r>
      <w:r w:rsidR="002F5D06">
        <w:rPr>
          <w:b/>
        </w:rPr>
        <w:t>9</w:t>
      </w:r>
      <w:bookmarkStart w:id="0" w:name="_GoBack"/>
      <w:bookmarkEnd w:id="0"/>
      <w:r w:rsidRPr="00A7527F">
        <w:rPr>
          <w:b/>
        </w:rPr>
        <w:t>.</w:t>
      </w:r>
      <w:r w:rsidR="00F038F5">
        <w:rPr>
          <w:b/>
        </w:rPr>
        <w:t>02</w:t>
      </w:r>
      <w:r w:rsidRPr="00A7527F">
        <w:rPr>
          <w:b/>
        </w:rPr>
        <w:t>.202</w:t>
      </w:r>
      <w:r w:rsidR="00F038F5">
        <w:rPr>
          <w:b/>
        </w:rPr>
        <w:t>4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 xml:space="preserve"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</w:t>
      </w:r>
      <w:r w:rsidRPr="006173A4">
        <w:lastRenderedPageBreak/>
        <w:t>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CA34A3">
        <w:trPr>
          <w:trHeight w:val="358"/>
        </w:trPr>
        <w:tc>
          <w:tcPr>
            <w:tcW w:w="3256" w:type="dxa"/>
          </w:tcPr>
          <w:p w:rsidR="00152FE4" w:rsidRPr="00B41114" w:rsidRDefault="00152FE4" w:rsidP="00CA34A3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 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B41114" w:rsidRDefault="00152FE4" w:rsidP="00CA34A3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 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CA34A3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1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1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</w:t>
      </w:r>
      <w:r w:rsidRPr="00862EE0">
        <w:lastRenderedPageBreak/>
        <w:t>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proofErr w:type="spellStart"/>
      <w:r w:rsidRPr="00324CE2">
        <w:rPr>
          <w:rFonts w:ascii="Times New Roman CYR" w:hAnsi="Times New Roman CYR" w:cs="Times New Roman CYR"/>
        </w:rPr>
        <w:t>непоступление</w:t>
      </w:r>
      <w:proofErr w:type="spellEnd"/>
      <w:r w:rsidRPr="00324CE2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lastRenderedPageBreak/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>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</w:t>
      </w:r>
      <w:r w:rsidRPr="00DB372A">
        <w:rPr>
          <w:rFonts w:eastAsia="Calibri"/>
          <w:lang w:eastAsia="en-US"/>
        </w:rPr>
        <w:lastRenderedPageBreak/>
        <w:t xml:space="preserve">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52FE4" w:rsidSect="00147C94">
      <w:pgSz w:w="11906" w:h="16838"/>
      <w:pgMar w:top="709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7B3C"/>
    <w:multiLevelType w:val="hybridMultilevel"/>
    <w:tmpl w:val="4C6C5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07D1"/>
    <w:multiLevelType w:val="hybridMultilevel"/>
    <w:tmpl w:val="35E4D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63F5D"/>
    <w:multiLevelType w:val="hybridMultilevel"/>
    <w:tmpl w:val="22104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B554A"/>
    <w:multiLevelType w:val="hybridMultilevel"/>
    <w:tmpl w:val="8B56D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4368CE"/>
    <w:multiLevelType w:val="hybridMultilevel"/>
    <w:tmpl w:val="D9948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D2E11"/>
    <w:multiLevelType w:val="hybridMultilevel"/>
    <w:tmpl w:val="15D4C442"/>
    <w:lvl w:ilvl="0" w:tplc="921E05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F6E6A"/>
    <w:multiLevelType w:val="hybridMultilevel"/>
    <w:tmpl w:val="D2743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70BE3"/>
    <w:multiLevelType w:val="hybridMultilevel"/>
    <w:tmpl w:val="6EF8B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1"/>
  </w:num>
  <w:num w:numId="5">
    <w:abstractNumId w:val="3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0"/>
  </w:num>
  <w:num w:numId="11">
    <w:abstractNumId w:val="6"/>
  </w:num>
  <w:num w:numId="12">
    <w:abstractNumId w:val="1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010C12"/>
    <w:rsid w:val="00024E2F"/>
    <w:rsid w:val="00025E4E"/>
    <w:rsid w:val="000267C3"/>
    <w:rsid w:val="00051081"/>
    <w:rsid w:val="0007691F"/>
    <w:rsid w:val="00084611"/>
    <w:rsid w:val="000959D2"/>
    <w:rsid w:val="001077B7"/>
    <w:rsid w:val="0014642A"/>
    <w:rsid w:val="00147C94"/>
    <w:rsid w:val="00152FE4"/>
    <w:rsid w:val="00162D2A"/>
    <w:rsid w:val="00183F2D"/>
    <w:rsid w:val="00186B6D"/>
    <w:rsid w:val="00202577"/>
    <w:rsid w:val="00225ACA"/>
    <w:rsid w:val="00280580"/>
    <w:rsid w:val="00291FCF"/>
    <w:rsid w:val="002E43AE"/>
    <w:rsid w:val="002F5D06"/>
    <w:rsid w:val="002F7559"/>
    <w:rsid w:val="003046E8"/>
    <w:rsid w:val="00315351"/>
    <w:rsid w:val="0032489D"/>
    <w:rsid w:val="0035789E"/>
    <w:rsid w:val="003661E2"/>
    <w:rsid w:val="0037082E"/>
    <w:rsid w:val="00375379"/>
    <w:rsid w:val="0039628E"/>
    <w:rsid w:val="003A33D9"/>
    <w:rsid w:val="003C3220"/>
    <w:rsid w:val="003F7569"/>
    <w:rsid w:val="004179C9"/>
    <w:rsid w:val="00430128"/>
    <w:rsid w:val="00472F0D"/>
    <w:rsid w:val="004A5CF8"/>
    <w:rsid w:val="004B0A71"/>
    <w:rsid w:val="0053071E"/>
    <w:rsid w:val="00536B5C"/>
    <w:rsid w:val="00542896"/>
    <w:rsid w:val="00563786"/>
    <w:rsid w:val="00581E2E"/>
    <w:rsid w:val="005B7121"/>
    <w:rsid w:val="005F54DA"/>
    <w:rsid w:val="0061028E"/>
    <w:rsid w:val="00612DEF"/>
    <w:rsid w:val="00643A06"/>
    <w:rsid w:val="006B1AE4"/>
    <w:rsid w:val="007840B9"/>
    <w:rsid w:val="007C033A"/>
    <w:rsid w:val="007E0F73"/>
    <w:rsid w:val="007E5A4A"/>
    <w:rsid w:val="0082161B"/>
    <w:rsid w:val="00853CDD"/>
    <w:rsid w:val="00861624"/>
    <w:rsid w:val="008731F4"/>
    <w:rsid w:val="0088749F"/>
    <w:rsid w:val="00897651"/>
    <w:rsid w:val="008B4B09"/>
    <w:rsid w:val="008D1AA1"/>
    <w:rsid w:val="008F466E"/>
    <w:rsid w:val="009019A6"/>
    <w:rsid w:val="00950E91"/>
    <w:rsid w:val="00954B6F"/>
    <w:rsid w:val="009A7922"/>
    <w:rsid w:val="009D5475"/>
    <w:rsid w:val="009E51F1"/>
    <w:rsid w:val="00A409C9"/>
    <w:rsid w:val="00A46692"/>
    <w:rsid w:val="00A562BD"/>
    <w:rsid w:val="00AB7A46"/>
    <w:rsid w:val="00B22C2B"/>
    <w:rsid w:val="00B30F4E"/>
    <w:rsid w:val="00B6768F"/>
    <w:rsid w:val="00B72B9C"/>
    <w:rsid w:val="00B85EE6"/>
    <w:rsid w:val="00BD0EC0"/>
    <w:rsid w:val="00BE69D8"/>
    <w:rsid w:val="00C20DF7"/>
    <w:rsid w:val="00C21C73"/>
    <w:rsid w:val="00C76C92"/>
    <w:rsid w:val="00C947FF"/>
    <w:rsid w:val="00C97C69"/>
    <w:rsid w:val="00CA0BD2"/>
    <w:rsid w:val="00CC5C25"/>
    <w:rsid w:val="00CD5417"/>
    <w:rsid w:val="00D5542E"/>
    <w:rsid w:val="00D73244"/>
    <w:rsid w:val="00D86A10"/>
    <w:rsid w:val="00DB372A"/>
    <w:rsid w:val="00DD360C"/>
    <w:rsid w:val="00DE7EDA"/>
    <w:rsid w:val="00E12B73"/>
    <w:rsid w:val="00E4488B"/>
    <w:rsid w:val="00EA1DD4"/>
    <w:rsid w:val="00EA64BE"/>
    <w:rsid w:val="00EB0153"/>
    <w:rsid w:val="00EB744D"/>
    <w:rsid w:val="00F038F5"/>
    <w:rsid w:val="00F27692"/>
    <w:rsid w:val="00F94FC4"/>
    <w:rsid w:val="00F97D2F"/>
    <w:rsid w:val="00FB463D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5EB7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4E16C-E8C9-4425-BF81-066AF065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5</cp:revision>
  <cp:lastPrinted>2023-07-26T03:47:00Z</cp:lastPrinted>
  <dcterms:created xsi:type="dcterms:W3CDTF">2024-02-01T09:32:00Z</dcterms:created>
  <dcterms:modified xsi:type="dcterms:W3CDTF">2024-02-01T10:17:00Z</dcterms:modified>
</cp:coreProperties>
</file>